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AC5" w:rsidRPr="009E1436" w:rsidRDefault="00267AC5" w:rsidP="009E1436">
      <w:pPr>
        <w:spacing w:before="100" w:beforeAutospacing="1" w:after="0" w:line="240" w:lineRule="auto"/>
        <w:jc w:val="center"/>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Žaslių kultūros centras</w:t>
      </w:r>
    </w:p>
    <w:p w:rsidR="00267AC5" w:rsidRPr="009E1436" w:rsidRDefault="00267AC5" w:rsidP="009E1436">
      <w:pPr>
        <w:spacing w:before="100" w:beforeAutospacing="1" w:after="238" w:line="240" w:lineRule="auto"/>
        <w:jc w:val="center"/>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2022 m. vasario mėnesio renginiai</w:t>
      </w:r>
    </w:p>
    <w:tbl>
      <w:tblPr>
        <w:tblW w:w="5222" w:type="pct"/>
        <w:tblCellSpacing w:w="0" w:type="dxa"/>
        <w:tblInd w:w="-121"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A0"/>
      </w:tblPr>
      <w:tblGrid>
        <w:gridCol w:w="1522"/>
        <w:gridCol w:w="2930"/>
        <w:gridCol w:w="1432"/>
        <w:gridCol w:w="2700"/>
        <w:gridCol w:w="6298"/>
      </w:tblGrid>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Data</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laikas</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Renginys</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Vieta</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Atsakingas asmuo</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b/>
                <w:bCs/>
                <w:sz w:val="24"/>
                <w:szCs w:val="24"/>
                <w:lang w:eastAsia="lt-LT"/>
              </w:rPr>
              <w:t xml:space="preserve">Aprašymas </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 xml:space="preserve">(tik aktuali informacija lankytojui, tai pat, jeigu reikalinga išankstinė registracija, nurodyti kontaktus. Šią informaciją skelbiame savivaldybės puslapyje </w:t>
            </w:r>
            <w:hyperlink r:id="rId4" w:history="1">
              <w:r w:rsidRPr="009E1436">
                <w:rPr>
                  <w:rFonts w:ascii="Times New Roman" w:hAnsi="Times New Roman" w:cs="Times New Roman"/>
                  <w:color w:val="0000FF"/>
                  <w:sz w:val="24"/>
                  <w:szCs w:val="24"/>
                  <w:u w:val="single"/>
                  <w:lang w:eastAsia="lt-LT"/>
                </w:rPr>
                <w:t>https://kaisiadorys.lt/renginiai/25</w:t>
              </w:r>
            </w:hyperlink>
            <w:r w:rsidRPr="009E1436">
              <w:rPr>
                <w:rFonts w:ascii="Times New Roman" w:hAnsi="Times New Roman" w:cs="Times New Roman"/>
                <w:sz w:val="24"/>
                <w:szCs w:val="24"/>
                <w:lang w:eastAsia="lt-LT"/>
              </w:rPr>
              <w:t>, facebook Renginiai</w:t>
            </w:r>
            <w:r>
              <w:rPr>
                <w:rFonts w:ascii="Times New Roman" w:hAnsi="Times New Roman" w:cs="Times New Roman"/>
                <w:sz w:val="24"/>
                <w:szCs w:val="24"/>
                <w:lang w:eastAsia="lt-LT"/>
              </w:rPr>
              <w:t xml:space="preserve"> </w:t>
            </w:r>
            <w:r w:rsidRPr="009E1436">
              <w:rPr>
                <w:rFonts w:ascii="Times New Roman" w:hAnsi="Times New Roman" w:cs="Times New Roman"/>
                <w:sz w:val="24"/>
                <w:szCs w:val="24"/>
                <w:lang w:eastAsia="lt-LT"/>
              </w:rPr>
              <w:t>Kaišiadoryse ir kt., jeigu paprašo detalesnės informacij</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5 d.</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14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Švilpikų gaminimo edukacinė programa (grupė suformuota)</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tradicinių amatų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Taparauskaitė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Edukacinę programą ves sertifikuotų tautinio paveldo produktų gamintoja Dalia Ramonienė</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8 d.</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17.30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Jurgitos Treinytės knygos ,,Tradicinių lietuviškų dirbinių kūrimas“ pristatymas. Edukacinis užsiėmimas</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tradicinių amatų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Taparauskaitė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Renginio metu bus pristatoma naujai išleista autorės knyga. Edukacinio užsiėmimo metu karpysime Gyvybės medį. Reikalinga išankstinė registracija tel. 8 640 35 788, el.p.vaiva.amatucentras</w:t>
            </w:r>
            <w:r w:rsidRPr="009E1436">
              <w:rPr>
                <w:rFonts w:ascii="Times New Roman" w:hAnsi="Times New Roman" w:cs="Times New Roman"/>
                <w:sz w:val="24"/>
                <w:szCs w:val="24"/>
                <w:lang w:val="en-US" w:eastAsia="lt-LT"/>
              </w:rPr>
              <w:t>@</w:t>
            </w:r>
            <w:r w:rsidRPr="009E1436">
              <w:rPr>
                <w:rFonts w:ascii="Times New Roman" w:hAnsi="Times New Roman" w:cs="Times New Roman"/>
                <w:sz w:val="24"/>
                <w:szCs w:val="24"/>
                <w:lang w:eastAsia="lt-LT"/>
              </w:rPr>
              <w:t>gmail.com</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10 d.</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10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Trečiojo amžiaus universiteto užsiėmimas ,,Vaistų nepageidaujamo poveikio iššūkiai sergant dažniausiomis lėtinėmis ligomis. Kaip galima sau padėti?“</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kultūros centras</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Kurgonienė, R. Saikauskienė</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Užsiėmimą ves Žydrūnė Muzikevičiūtė, UAB ,,Nemuno vaistinė“ formacistė</w:t>
            </w:r>
          </w:p>
        </w:tc>
      </w:tr>
      <w:tr w:rsidR="00267AC5" w:rsidRPr="007F547E" w:rsidTr="00622D56">
        <w:trPr>
          <w:trHeight w:val="708"/>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16 d.</w:t>
            </w: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9 val.</w:t>
            </w: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10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Gėlių padėjimas ir žvakelių uždegimas ant Lietuvos nepriklausomybės kovų savanorių kapų Žaslių miestelio ir Cineikių kaimo kapinėse.</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Akcija ,,Kas gali nemylėt ,,Tėvynės?“</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miestelio ir Cineikių kaimo kapinės</w:t>
            </w: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Kurgonienė, R. Ščerbavičienė, G. Stankevičienė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Nuosavų mašinų kolona su iškeltomis vėliavomis rikiuosis prie mokyklos stadiono šalutiniame keliuke, vedančiame į miestelio kapines. Nurodytu laiku pajudėsime ir vyksime pagrindinėmis Vilniaus ir Vytauto gatvėmis per Žaslių miestelį. Prie Kliuko pušynėlio trumpam stabtelėsime ir ties pagrindiniu kryžiumi garsiniu signalu pagerbsime pokaryje nužudytus ir šioje vietoje užkastus partizanus. Už Kliuko pušynėlio suksime į dešinę ir vieškeliu laukais važiuosime iki pagrindinio kelio Žasliai – Paparčiai. Vėl suksime į dešinę ir pagrindiniu keliu vyksime iki miestelio aikštės. Čia akciją baigsime.</w:t>
            </w:r>
          </w:p>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24 d.</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10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Trečiojo amžiaus universiteto užsiėmimas ,,Muzikavimo edukacija - išvyka“</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kultūros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Kurgonienė, R. Saikauskienė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hd w:val="clear" w:color="auto" w:fill="FFFFFF"/>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Užsiėmimas vyks Lietuvos liaudies buities muziejuje</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25 d.</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15 val.</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Šakočio kepimo edukacinė programa</w:t>
            </w:r>
          </w:p>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Verbų rišimo edukacinė programa (grupė suformuota)</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tradicinių amatų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Taparauskaitė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Edukacines programas ves sertifikuotų tautinio paveldo produktų gamintojos Dalia Ramonienė ir Jurgita Treinytė</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7 – 28 d.</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Kaišiadorių muziejaus parengta paroda ,,Geležinė uždanga: Lietuva – Lenkija 1920-1939 m.“</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kultūros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Kurgonienė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 xml:space="preserve">Geležinė ùždanga (angl. Iron Curtain), SSRS ir jos sąjungininkių politinis, karinis ir ideologinis izoliavimasis nuo Vakarų ir kitų nekomunistinių šalių. Lenkijos okupacijos ir aneksijos laikotarpis (1920-1939 m.) Rytų Lietuvoje – Lietuvos valstybės istorijos periodas, kai lietuviai sunkiomis lenkų okupacinio režimo sąlygomis siekė išsaugoti kalbą ir kultūrą, galimybę šviestis gimtąja kalba, nevaržomi turėti savo organizacijas ir spaudą. Tai laikotarpis, kai Lenkijos administracinės valdžios buvo persekiojami lietuviai, o pats kraštas – polonizuojamas, siekiant kuo greitesnės Rytų Lietuvos integracijos į Lenkijos valstybę. </w:t>
            </w:r>
          </w:p>
        </w:tc>
      </w:tr>
      <w:tr w:rsidR="00267AC5" w:rsidRPr="007F547E" w:rsidTr="00622D56">
        <w:trPr>
          <w:tblCellSpacing w:w="0" w:type="dxa"/>
        </w:trPr>
        <w:tc>
          <w:tcPr>
            <w:tcW w:w="511" w:type="pct"/>
            <w:tcBorders>
              <w:top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7 – 28 d.</w:t>
            </w:r>
          </w:p>
        </w:tc>
        <w:tc>
          <w:tcPr>
            <w:tcW w:w="984"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Kaišiadorių kultūros centro medžio drožinėjimo būrelio darbų paroda. Vadovas Vidmantas Kapačiūnas</w:t>
            </w:r>
          </w:p>
        </w:tc>
        <w:tc>
          <w:tcPr>
            <w:tcW w:w="481"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Žaslių tradicinių amatų centras</w:t>
            </w:r>
          </w:p>
        </w:tc>
        <w:tc>
          <w:tcPr>
            <w:tcW w:w="907" w:type="pct"/>
            <w:tcBorders>
              <w:top w:val="outset" w:sz="6" w:space="0" w:color="000000"/>
              <w:left w:val="outset" w:sz="6" w:space="0" w:color="000000"/>
              <w:bottom w:val="outset" w:sz="6" w:space="0" w:color="000000"/>
              <w:right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r w:rsidRPr="009E1436">
              <w:rPr>
                <w:rFonts w:ascii="Times New Roman" w:hAnsi="Times New Roman" w:cs="Times New Roman"/>
                <w:sz w:val="24"/>
                <w:szCs w:val="24"/>
                <w:lang w:eastAsia="lt-LT"/>
              </w:rPr>
              <w:t>V. Taparauskaitė</w:t>
            </w:r>
          </w:p>
        </w:tc>
        <w:tc>
          <w:tcPr>
            <w:tcW w:w="2116" w:type="pct"/>
            <w:tcBorders>
              <w:top w:val="outset" w:sz="6" w:space="0" w:color="000000"/>
              <w:left w:val="outset" w:sz="6" w:space="0" w:color="000000"/>
              <w:bottom w:val="outset" w:sz="6" w:space="0" w:color="000000"/>
            </w:tcBorders>
          </w:tcPr>
          <w:p w:rsidR="00267AC5" w:rsidRPr="009E1436" w:rsidRDefault="00267AC5" w:rsidP="009E1436">
            <w:pPr>
              <w:spacing w:before="100" w:beforeAutospacing="1" w:after="119" w:line="240" w:lineRule="auto"/>
              <w:rPr>
                <w:rFonts w:ascii="Times New Roman" w:hAnsi="Times New Roman" w:cs="Times New Roman"/>
                <w:sz w:val="24"/>
                <w:szCs w:val="24"/>
                <w:lang w:eastAsia="lt-LT"/>
              </w:rPr>
            </w:pPr>
          </w:p>
        </w:tc>
      </w:tr>
    </w:tbl>
    <w:p w:rsidR="00267AC5" w:rsidRPr="009E1436" w:rsidRDefault="00267AC5" w:rsidP="009E1436">
      <w:pPr>
        <w:spacing w:before="100" w:beforeAutospacing="1" w:after="0" w:line="240" w:lineRule="auto"/>
        <w:rPr>
          <w:rFonts w:ascii="Times New Roman" w:hAnsi="Times New Roman" w:cs="Times New Roman"/>
          <w:sz w:val="24"/>
          <w:szCs w:val="24"/>
          <w:lang w:eastAsia="lt-LT"/>
        </w:rPr>
      </w:pPr>
    </w:p>
    <w:p w:rsidR="00267AC5" w:rsidRDefault="00267AC5"/>
    <w:sectPr w:rsidR="00267AC5" w:rsidSect="009E1436">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436"/>
    <w:rsid w:val="00267AC5"/>
    <w:rsid w:val="00622D56"/>
    <w:rsid w:val="007F547E"/>
    <w:rsid w:val="009B17B1"/>
    <w:rsid w:val="009E1436"/>
    <w:rsid w:val="00D4416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7B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E1436"/>
    <w:rPr>
      <w:color w:val="0000FF"/>
      <w:u w:val="single"/>
    </w:rPr>
  </w:style>
  <w:style w:type="paragraph" w:styleId="NormalWeb">
    <w:name w:val="Normal (Web)"/>
    <w:basedOn w:val="Normal"/>
    <w:uiPriority w:val="99"/>
    <w:semiHidden/>
    <w:rsid w:val="009E1436"/>
    <w:pPr>
      <w:spacing w:before="100" w:beforeAutospacing="1" w:after="119"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444806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isiadorys.lt/renginiai/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2281</Words>
  <Characters>1301</Characters>
  <Application>Microsoft Office Outlook</Application>
  <DocSecurity>0</DocSecurity>
  <Lines>0</Lines>
  <Paragraphs>0</Paragraphs>
  <ScaleCrop>false</ScaleCrop>
  <Company>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Žaslių kultūros centras</dc:title>
  <dc:subject/>
  <dc:creator>Valė Kurgonienė</dc:creator>
  <cp:keywords/>
  <dc:description/>
  <cp:lastModifiedBy>user</cp:lastModifiedBy>
  <cp:revision>2</cp:revision>
  <dcterms:created xsi:type="dcterms:W3CDTF">2022-04-04T12:07:00Z</dcterms:created>
  <dcterms:modified xsi:type="dcterms:W3CDTF">2022-04-04T12:07:00Z</dcterms:modified>
</cp:coreProperties>
</file>